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3024" w14:textId="77777777" w:rsidR="00645CD4" w:rsidRPr="00645CD4" w:rsidRDefault="00123EC2" w:rsidP="00645CD4">
      <w:pPr>
        <w:snapToGrid w:val="0"/>
        <w:spacing w:line="360" w:lineRule="auto"/>
        <w:rPr>
          <w:rFonts w:hint="eastAsia"/>
          <w:b/>
        </w:rPr>
      </w:pPr>
      <w:r>
        <w:rPr>
          <w:b/>
        </w:rPr>
        <w:t>Mini</w:t>
      </w:r>
      <w:r w:rsidR="00727017">
        <w:rPr>
          <w:b/>
        </w:rPr>
        <w:t>-</w:t>
      </w:r>
      <w:r w:rsidR="007C7626">
        <w:rPr>
          <w:rFonts w:hint="eastAsia"/>
          <w:b/>
        </w:rPr>
        <w:t>S</w:t>
      </w:r>
      <w:r>
        <w:rPr>
          <w:b/>
        </w:rPr>
        <w:t xml:space="preserve">ymposium </w:t>
      </w:r>
      <w:r w:rsidR="00645CD4" w:rsidRPr="00645CD4">
        <w:rPr>
          <w:rFonts w:hint="eastAsia"/>
          <w:b/>
        </w:rPr>
        <w:t>Title</w:t>
      </w:r>
    </w:p>
    <w:p w14:paraId="697E8F72" w14:textId="77777777" w:rsidR="00047CCB" w:rsidRDefault="00047CCB" w:rsidP="007C445B">
      <w:pPr>
        <w:snapToGrid w:val="0"/>
        <w:spacing w:line="360" w:lineRule="auto"/>
        <w:rPr>
          <w:kern w:val="0"/>
        </w:rPr>
      </w:pPr>
      <w:r w:rsidRPr="00047CCB">
        <w:rPr>
          <w:kern w:val="0"/>
        </w:rPr>
        <w:t>Computational Methods for Evaluating and Enhancing Infrastructure Resilience under Natural Hazards</w:t>
      </w:r>
      <w:r>
        <w:rPr>
          <w:rFonts w:hint="eastAsia"/>
          <w:kern w:val="0"/>
        </w:rPr>
        <w:t>.</w:t>
      </w:r>
    </w:p>
    <w:p w14:paraId="3751F55C" w14:textId="77777777" w:rsidR="007C445B" w:rsidRPr="00047CCB" w:rsidRDefault="007C445B" w:rsidP="007C445B">
      <w:pPr>
        <w:snapToGrid w:val="0"/>
        <w:spacing w:line="360" w:lineRule="auto"/>
        <w:rPr>
          <w:rFonts w:hint="eastAsia"/>
          <w:kern w:val="0"/>
        </w:rPr>
      </w:pPr>
      <w:r w:rsidRPr="00645CD4">
        <w:rPr>
          <w:rFonts w:hint="eastAsia"/>
          <w:b/>
        </w:rPr>
        <w:t>Description</w:t>
      </w:r>
    </w:p>
    <w:p w14:paraId="5E3EA84E" w14:textId="77777777" w:rsidR="009141C8" w:rsidRDefault="009141C8" w:rsidP="009141C8">
      <w:pPr>
        <w:snapToGrid w:val="0"/>
        <w:spacing w:line="360" w:lineRule="auto"/>
        <w:jc w:val="both"/>
      </w:pPr>
      <w:r>
        <w:t>This mini symposium aims to gather researchers and practitioners employing a wide range of computational approaches to assess and enhance the resilience of infrastructure systems under natural hazards such as earthquakes, landslides, floods, and extreme weather events. We welcome contributions that utilize both traditional and emerging methods, including but not limited to finite element and finite difference methods, mesh-free techniques, multiscale or multi</w:t>
      </w:r>
      <w:r>
        <w:rPr>
          <w:rFonts w:hint="eastAsia"/>
        </w:rPr>
        <w:t>-</w:t>
      </w:r>
      <w:r>
        <w:t>physics simulations, and data-driven approaches such as machine learning, deep learning, and surrogate modeling.</w:t>
      </w:r>
      <w:r w:rsidR="00A81CC3">
        <w:rPr>
          <w:rFonts w:hint="eastAsia"/>
        </w:rPr>
        <w:t xml:space="preserve"> </w:t>
      </w:r>
      <w:r>
        <w:t>Topics of interest include, but are not limited to:</w:t>
      </w:r>
    </w:p>
    <w:p w14:paraId="24CBA908" w14:textId="77777777" w:rsidR="009141C8" w:rsidRDefault="009141C8" w:rsidP="009141C8">
      <w:pPr>
        <w:numPr>
          <w:ilvl w:val="0"/>
          <w:numId w:val="1"/>
        </w:numPr>
        <w:snapToGrid w:val="0"/>
        <w:spacing w:line="360" w:lineRule="auto"/>
        <w:jc w:val="both"/>
      </w:pPr>
      <w:r>
        <w:t>Large-scale seismic or multi-hazard risk assessment using high-performance computing (HPC)</w:t>
      </w:r>
    </w:p>
    <w:p w14:paraId="34205293" w14:textId="77777777" w:rsidR="009141C8" w:rsidRDefault="009141C8" w:rsidP="009141C8">
      <w:pPr>
        <w:numPr>
          <w:ilvl w:val="0"/>
          <w:numId w:val="1"/>
        </w:numPr>
        <w:snapToGrid w:val="0"/>
        <w:spacing w:line="360" w:lineRule="auto"/>
        <w:jc w:val="both"/>
      </w:pPr>
      <w:r>
        <w:t>Computational modeling of geohazards (e.g., slope failure, liquefaction)</w:t>
      </w:r>
    </w:p>
    <w:p w14:paraId="570CB3DB" w14:textId="77777777" w:rsidR="009141C8" w:rsidRDefault="009141C8" w:rsidP="009141C8">
      <w:pPr>
        <w:numPr>
          <w:ilvl w:val="0"/>
          <w:numId w:val="1"/>
        </w:numPr>
        <w:snapToGrid w:val="0"/>
        <w:spacing w:line="360" w:lineRule="auto"/>
        <w:jc w:val="both"/>
      </w:pPr>
      <w:r>
        <w:t>Fluid-structure interaction and erosion simulation</w:t>
      </w:r>
    </w:p>
    <w:p w14:paraId="1D5CCC53" w14:textId="77777777" w:rsidR="009141C8" w:rsidRDefault="009141C8" w:rsidP="009141C8">
      <w:pPr>
        <w:numPr>
          <w:ilvl w:val="0"/>
          <w:numId w:val="1"/>
        </w:numPr>
        <w:snapToGrid w:val="0"/>
        <w:spacing w:line="360" w:lineRule="auto"/>
        <w:jc w:val="both"/>
      </w:pPr>
      <w:r>
        <w:t>AI-augmented damage detection and resilience evaluation</w:t>
      </w:r>
    </w:p>
    <w:p w14:paraId="0C1757FC" w14:textId="77777777" w:rsidR="009141C8" w:rsidRDefault="009141C8" w:rsidP="009141C8">
      <w:pPr>
        <w:numPr>
          <w:ilvl w:val="0"/>
          <w:numId w:val="1"/>
        </w:numPr>
        <w:snapToGrid w:val="0"/>
        <w:spacing w:line="360" w:lineRule="auto"/>
        <w:jc w:val="both"/>
      </w:pPr>
      <w:r>
        <w:t>Hybrid physics-informed and data-driven frameworks for infrastructure analysis</w:t>
      </w:r>
    </w:p>
    <w:p w14:paraId="76970B20" w14:textId="77777777" w:rsidR="007C445B" w:rsidRDefault="009141C8" w:rsidP="009141C8">
      <w:pPr>
        <w:snapToGrid w:val="0"/>
        <w:spacing w:line="360" w:lineRule="auto"/>
        <w:jc w:val="both"/>
      </w:pPr>
      <w:r>
        <w:t>By encouraging the integration of various computational paradigms, this session seeks to promote cross-disciplinary collaboration and highlight the evolving role of simulation and data science in hazard mitigation, infrastructure planning, and resilience enhancement.</w:t>
      </w:r>
    </w:p>
    <w:p w14:paraId="1B92CDC1" w14:textId="77777777" w:rsidR="00BA4783" w:rsidRDefault="00BA4783" w:rsidP="009141C8">
      <w:pPr>
        <w:snapToGrid w:val="0"/>
        <w:spacing w:line="360" w:lineRule="auto"/>
        <w:jc w:val="both"/>
        <w:rPr>
          <w:rFonts w:hint="eastAsia"/>
        </w:rPr>
      </w:pPr>
    </w:p>
    <w:p w14:paraId="69EC13CB" w14:textId="77777777" w:rsidR="007C445B" w:rsidRPr="007F2A66" w:rsidRDefault="007C445B" w:rsidP="007C445B">
      <w:pPr>
        <w:snapToGrid w:val="0"/>
        <w:spacing w:line="360" w:lineRule="auto"/>
        <w:ind w:left="283" w:hangingChars="118" w:hanging="283"/>
        <w:rPr>
          <w:b/>
        </w:rPr>
      </w:pPr>
      <w:r w:rsidRPr="007F2A66">
        <w:rPr>
          <w:rFonts w:hint="eastAsia"/>
          <w:b/>
        </w:rPr>
        <w:t xml:space="preserve">Lead Organizer: </w:t>
      </w:r>
    </w:p>
    <w:p w14:paraId="20C032CE" w14:textId="77777777" w:rsidR="007C445B" w:rsidRDefault="009141C8" w:rsidP="007C445B">
      <w:pPr>
        <w:snapToGrid w:val="0"/>
        <w:spacing w:line="360" w:lineRule="auto"/>
        <w:ind w:left="283"/>
        <w:jc w:val="both"/>
        <w:rPr>
          <w:rFonts w:hint="eastAsia"/>
        </w:rPr>
      </w:pPr>
      <w:r>
        <w:rPr>
          <w:rFonts w:hint="eastAsia"/>
        </w:rPr>
        <w:t xml:space="preserve">Assoc. </w:t>
      </w:r>
      <w:r w:rsidR="007C445B">
        <w:rPr>
          <w:rFonts w:hint="eastAsia"/>
        </w:rPr>
        <w:t xml:space="preserve">Prof. </w:t>
      </w:r>
      <w:r>
        <w:rPr>
          <w:rFonts w:hint="eastAsia"/>
        </w:rPr>
        <w:t>Peng-Yu Chen</w:t>
      </w:r>
      <w:r w:rsidR="007C445B">
        <w:rPr>
          <w:rFonts w:hint="eastAsia"/>
        </w:rPr>
        <w:t xml:space="preserve">, Department of </w:t>
      </w:r>
      <w:r w:rsidR="007C445B">
        <w:t>Civil</w:t>
      </w:r>
      <w:r w:rsidR="007C445B">
        <w:rPr>
          <w:rFonts w:hint="eastAsia"/>
        </w:rPr>
        <w:t xml:space="preserve"> Engineering, National </w:t>
      </w:r>
      <w:r>
        <w:rPr>
          <w:rFonts w:hint="eastAsia"/>
        </w:rPr>
        <w:t>Central</w:t>
      </w:r>
      <w:r w:rsidR="007C445B">
        <w:rPr>
          <w:rFonts w:hint="eastAsia"/>
        </w:rPr>
        <w:t xml:space="preserve"> University, TAIWAN</w:t>
      </w:r>
      <w:r w:rsidR="00D42971">
        <w:rPr>
          <w:rFonts w:hint="eastAsia"/>
        </w:rPr>
        <w:t xml:space="preserve">. </w:t>
      </w:r>
      <w:r w:rsidR="007C445B">
        <w:t xml:space="preserve">Email: </w:t>
      </w:r>
      <w:hyperlink r:id="rId7" w:history="1">
        <w:r w:rsidR="00D42971" w:rsidRPr="002D13CB">
          <w:rPr>
            <w:rStyle w:val="a3"/>
            <w:rFonts w:hint="eastAsia"/>
          </w:rPr>
          <w:t>sam75782008@g.ncu.edu.tw</w:t>
        </w:r>
      </w:hyperlink>
      <w:r w:rsidR="00D42971">
        <w:rPr>
          <w:rFonts w:hint="eastAsia"/>
        </w:rPr>
        <w:t xml:space="preserve"> </w:t>
      </w:r>
    </w:p>
    <w:p w14:paraId="0869DD6F" w14:textId="77777777" w:rsidR="007C445B" w:rsidRPr="007152A4" w:rsidRDefault="007C445B" w:rsidP="007C445B">
      <w:pPr>
        <w:snapToGrid w:val="0"/>
        <w:spacing w:line="360" w:lineRule="auto"/>
        <w:ind w:left="283" w:hangingChars="118" w:hanging="283"/>
        <w:rPr>
          <w:b/>
        </w:rPr>
      </w:pPr>
      <w:r w:rsidRPr="007152A4">
        <w:rPr>
          <w:rFonts w:hint="eastAsia"/>
          <w:b/>
        </w:rPr>
        <w:t>Co-organizer</w:t>
      </w:r>
      <w:r w:rsidRPr="007152A4">
        <w:rPr>
          <w:b/>
        </w:rPr>
        <w:t>s</w:t>
      </w:r>
      <w:r w:rsidRPr="007152A4">
        <w:rPr>
          <w:rFonts w:hint="eastAsia"/>
          <w:b/>
        </w:rPr>
        <w:t xml:space="preserve">: </w:t>
      </w:r>
    </w:p>
    <w:p w14:paraId="6060A192" w14:textId="77777777" w:rsidR="00562DF5" w:rsidRPr="00876CF8" w:rsidRDefault="00D42971" w:rsidP="00047CCB">
      <w:pPr>
        <w:snapToGrid w:val="0"/>
        <w:spacing w:line="360" w:lineRule="auto"/>
        <w:ind w:left="283"/>
        <w:jc w:val="both"/>
        <w:rPr>
          <w:rFonts w:hint="eastAsia"/>
        </w:rPr>
      </w:pPr>
      <w:r>
        <w:rPr>
          <w:rFonts w:hint="eastAsia"/>
        </w:rPr>
        <w:t xml:space="preserve">Asst. </w:t>
      </w:r>
      <w:r w:rsidR="007C445B">
        <w:rPr>
          <w:rFonts w:hint="eastAsia"/>
        </w:rPr>
        <w:t xml:space="preserve">Prof. </w:t>
      </w:r>
      <w:r w:rsidRPr="00D42971">
        <w:t>Yu-Chen</w:t>
      </w:r>
      <w:r>
        <w:rPr>
          <w:rFonts w:hint="eastAsia"/>
        </w:rPr>
        <w:t xml:space="preserve"> Su</w:t>
      </w:r>
      <w:r w:rsidR="007C445B">
        <w:rPr>
          <w:rFonts w:hint="eastAsia"/>
        </w:rPr>
        <w:t xml:space="preserve">, </w:t>
      </w:r>
      <w:r w:rsidR="004E4C49" w:rsidRPr="004E4C49">
        <w:t>Department of Civil Engineering</w:t>
      </w:r>
      <w:r w:rsidR="004E4C49">
        <w:t xml:space="preserve">, </w:t>
      </w:r>
      <w:r w:rsidR="004E4C49" w:rsidRPr="004E4C49">
        <w:t xml:space="preserve">National </w:t>
      </w:r>
      <w:r>
        <w:rPr>
          <w:rFonts w:hint="eastAsia"/>
        </w:rPr>
        <w:t xml:space="preserve">Central </w:t>
      </w:r>
      <w:r w:rsidR="004E4C49" w:rsidRPr="004E4C49">
        <w:t>University</w:t>
      </w:r>
      <w:r w:rsidR="007C445B">
        <w:rPr>
          <w:rFonts w:hint="eastAsia"/>
        </w:rPr>
        <w:t>, TAIWAN</w:t>
      </w:r>
      <w:r>
        <w:rPr>
          <w:rFonts w:hint="eastAsia"/>
        </w:rPr>
        <w:t xml:space="preserve">. </w:t>
      </w:r>
      <w:r w:rsidR="007C445B">
        <w:t xml:space="preserve">Email: </w:t>
      </w:r>
      <w:hyperlink r:id="rId8" w:history="1">
        <w:r w:rsidRPr="002D13CB">
          <w:rPr>
            <w:rStyle w:val="a3"/>
          </w:rPr>
          <w:t>ycsu@ncu.edu.tw</w:t>
        </w:r>
      </w:hyperlink>
      <w:r w:rsidRPr="00D42971">
        <w:t xml:space="preserve"> </w:t>
      </w:r>
    </w:p>
    <w:sectPr w:rsidR="00562DF5" w:rsidRPr="00876CF8" w:rsidSect="00E9727A">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2ADE" w14:textId="77777777" w:rsidR="004D59EE" w:rsidRDefault="004D59EE" w:rsidP="00123EC2">
      <w:r>
        <w:separator/>
      </w:r>
    </w:p>
  </w:endnote>
  <w:endnote w:type="continuationSeparator" w:id="0">
    <w:p w14:paraId="17DB0BC6" w14:textId="77777777" w:rsidR="004D59EE" w:rsidRDefault="004D59EE" w:rsidP="0012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37A6" w14:textId="77777777" w:rsidR="004D59EE" w:rsidRDefault="004D59EE" w:rsidP="00123EC2">
      <w:r>
        <w:separator/>
      </w:r>
    </w:p>
  </w:footnote>
  <w:footnote w:type="continuationSeparator" w:id="0">
    <w:p w14:paraId="56F089E1" w14:textId="77777777" w:rsidR="004D59EE" w:rsidRDefault="004D59EE" w:rsidP="0012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A4AC" w14:textId="77777777" w:rsidR="00727017" w:rsidRPr="00652F87" w:rsidRDefault="00727017" w:rsidP="00727017">
    <w:pPr>
      <w:tabs>
        <w:tab w:val="center" w:pos="4153"/>
        <w:tab w:val="right" w:pos="8306"/>
      </w:tabs>
      <w:spacing w:before="120"/>
      <w:jc w:val="right"/>
      <w:rPr>
        <w:rFonts w:eastAsia="標楷體"/>
      </w:rPr>
    </w:pPr>
    <w:r w:rsidRPr="00F7524D">
      <w:rPr>
        <w:rFonts w:eastAsia="標楷體" w:cs="標楷體" w:hint="eastAsia"/>
        <w:sz w:val="20"/>
      </w:rPr>
      <w:t>第</w:t>
    </w:r>
    <w:r w:rsidR="004E4C49">
      <w:rPr>
        <w:rFonts w:eastAsia="標楷體" w:cs="標楷體" w:hint="eastAsia"/>
        <w:sz w:val="20"/>
      </w:rPr>
      <w:t>三</w:t>
    </w:r>
    <w:r w:rsidRPr="00F7524D">
      <w:rPr>
        <w:rFonts w:eastAsia="標楷體" w:cs="標楷體" w:hint="eastAsia"/>
        <w:sz w:val="20"/>
      </w:rPr>
      <w:t>屆台灣計算力學學會年會</w:t>
    </w:r>
    <w:r>
      <w:rPr>
        <w:rFonts w:eastAsia="標楷體" w:cs="標楷體"/>
        <w:sz w:val="20"/>
      </w:rPr>
      <w:t xml:space="preserve">      </w:t>
    </w:r>
    <w:r w:rsidRPr="00652F87">
      <w:rPr>
        <w:rFonts w:eastAsia="標楷體" w:cs="標楷體"/>
        <w:sz w:val="20"/>
      </w:rPr>
      <w:t xml:space="preserve">                       </w:t>
    </w:r>
    <w:r>
      <w:rPr>
        <w:rFonts w:eastAsia="標楷體" w:cs="標楷體"/>
        <w:sz w:val="20"/>
      </w:rPr>
      <w:t xml:space="preserve">                                       </w:t>
    </w:r>
    <w:r w:rsidR="004E4C49">
      <w:rPr>
        <w:rFonts w:eastAsia="標楷體" w:cs="標楷體" w:hint="eastAsia"/>
        <w:sz w:val="20"/>
      </w:rPr>
      <w:t>新竹</w:t>
    </w:r>
    <w:r w:rsidR="007C445B">
      <w:rPr>
        <w:rFonts w:eastAsia="標楷體" w:cs="標楷體" w:hint="eastAsia"/>
        <w:sz w:val="20"/>
      </w:rPr>
      <w:t>市</w:t>
    </w:r>
    <w:r w:rsidRPr="00652F87">
      <w:rPr>
        <w:rFonts w:eastAsia="標楷體" w:cs="標楷體" w:hint="eastAsia"/>
        <w:sz w:val="20"/>
      </w:rPr>
      <w:t>，中華民國</w:t>
    </w:r>
    <w:r>
      <w:rPr>
        <w:rFonts w:eastAsia="標楷體"/>
        <w:sz w:val="20"/>
      </w:rPr>
      <w:t>11</w:t>
    </w:r>
    <w:r w:rsidR="004E4C49">
      <w:rPr>
        <w:rFonts w:eastAsia="標楷體" w:hint="eastAsia"/>
        <w:sz w:val="20"/>
      </w:rPr>
      <w:t>4</w:t>
    </w:r>
    <w:r w:rsidRPr="00652F87">
      <w:rPr>
        <w:rFonts w:eastAsia="標楷體" w:cs="標楷體" w:hint="eastAsia"/>
        <w:sz w:val="20"/>
      </w:rPr>
      <w:t>年</w:t>
    </w:r>
    <w:r w:rsidR="004E4C49">
      <w:rPr>
        <w:rFonts w:eastAsia="標楷體" w:cs="標楷體" w:hint="eastAsia"/>
        <w:sz w:val="20"/>
      </w:rPr>
      <w:t>9</w:t>
    </w:r>
    <w:r w:rsidRPr="00652F87">
      <w:rPr>
        <w:rFonts w:eastAsia="標楷體" w:cs="標楷體" w:hint="eastAsia"/>
        <w:sz w:val="20"/>
      </w:rPr>
      <w:t>月</w:t>
    </w:r>
    <w:r w:rsidR="004E4C49">
      <w:rPr>
        <w:rFonts w:eastAsia="標楷體" w:cs="標楷體" w:hint="eastAsia"/>
        <w:sz w:val="20"/>
      </w:rPr>
      <w:t>26</w:t>
    </w:r>
    <w:r w:rsidR="007C445B">
      <w:rPr>
        <w:rFonts w:eastAsia="標楷體"/>
        <w:sz w:val="20"/>
      </w:rPr>
      <w:t>-</w:t>
    </w:r>
    <w:r w:rsidR="004E4C49">
      <w:rPr>
        <w:rFonts w:eastAsia="標楷體" w:hint="eastAsia"/>
        <w:sz w:val="20"/>
      </w:rPr>
      <w:t>27</w:t>
    </w:r>
    <w:r w:rsidR="007C445B">
      <w:rPr>
        <w:rFonts w:eastAsia="標楷體"/>
        <w:sz w:val="20"/>
      </w:rPr>
      <w:t xml:space="preserve"> </w:t>
    </w:r>
    <w:r w:rsidRPr="00652F87">
      <w:rPr>
        <w:rFonts w:eastAsia="標楷體" w:cs="標楷體" w:hint="eastAsia"/>
        <w:sz w:val="20"/>
      </w:rPr>
      <w:t>日</w:t>
    </w:r>
  </w:p>
  <w:p w14:paraId="30443AFE" w14:textId="77777777" w:rsidR="007C445B" w:rsidRPr="00652F87" w:rsidRDefault="00727017" w:rsidP="007C445B">
    <w:pPr>
      <w:tabs>
        <w:tab w:val="center" w:pos="4153"/>
        <w:tab w:val="right" w:pos="8306"/>
      </w:tabs>
      <w:jc w:val="right"/>
      <w:rPr>
        <w:rFonts w:eastAsia="標楷體"/>
        <w:sz w:val="20"/>
      </w:rPr>
    </w:pPr>
    <w:r w:rsidRPr="0018611D">
      <w:rPr>
        <w:sz w:val="20"/>
      </w:rPr>
      <w:t>Association of Computational Mechanics Taiwan (ACMT) 202</w:t>
    </w:r>
    <w:r w:rsidR="004E4C49">
      <w:rPr>
        <w:rFonts w:hint="eastAsia"/>
        <w:sz w:val="20"/>
      </w:rPr>
      <w:t>5</w:t>
    </w:r>
    <w:r w:rsidRPr="0018611D">
      <w:rPr>
        <w:sz w:val="20"/>
      </w:rPr>
      <w:t xml:space="preserve"> Annual Meeting</w:t>
    </w:r>
  </w:p>
  <w:p w14:paraId="4497FA50" w14:textId="77777777" w:rsidR="00123EC2" w:rsidRPr="00727017" w:rsidRDefault="004E4C49" w:rsidP="007C445B">
    <w:pPr>
      <w:tabs>
        <w:tab w:val="center" w:pos="4153"/>
        <w:tab w:val="right" w:pos="8306"/>
      </w:tabs>
      <w:jc w:val="right"/>
      <w:rPr>
        <w:rFonts w:eastAsia="標楷體" w:hint="eastAsia"/>
      </w:rPr>
    </w:pPr>
    <w:r w:rsidRPr="004E4C49">
      <w:rPr>
        <w:rFonts w:eastAsia="標楷體"/>
        <w:sz w:val="20"/>
      </w:rPr>
      <w:t>Hsinchu</w:t>
    </w:r>
    <w:r w:rsidR="007C445B">
      <w:rPr>
        <w:rFonts w:eastAsia="標楷體"/>
        <w:sz w:val="20"/>
      </w:rPr>
      <w:t xml:space="preserve"> </w:t>
    </w:r>
    <w:r w:rsidR="00727017" w:rsidRPr="00652F87">
      <w:rPr>
        <w:rFonts w:eastAsia="標楷體" w:hint="eastAsia"/>
        <w:sz w:val="20"/>
      </w:rPr>
      <w:t>C</w:t>
    </w:r>
    <w:r w:rsidR="00727017" w:rsidRPr="00652F87">
      <w:rPr>
        <w:rFonts w:eastAsia="標楷體"/>
        <w:sz w:val="20"/>
      </w:rPr>
      <w:t xml:space="preserve">ity, </w:t>
    </w:r>
    <w:r>
      <w:rPr>
        <w:rFonts w:eastAsia="標楷體"/>
        <w:sz w:val="20"/>
      </w:rPr>
      <w:t>September</w:t>
    </w:r>
    <w:r w:rsidR="00727017">
      <w:rPr>
        <w:rFonts w:eastAsia="標楷體"/>
        <w:sz w:val="20"/>
      </w:rPr>
      <w:t xml:space="preserve"> </w:t>
    </w:r>
    <w:r>
      <w:rPr>
        <w:rFonts w:eastAsia="標楷體"/>
        <w:sz w:val="20"/>
      </w:rPr>
      <w:t>26</w:t>
    </w:r>
    <w:r w:rsidR="00727017">
      <w:rPr>
        <w:rFonts w:eastAsia="標楷體"/>
        <w:sz w:val="20"/>
      </w:rPr>
      <w:t>-</w:t>
    </w:r>
    <w:r>
      <w:rPr>
        <w:rFonts w:eastAsia="標楷體"/>
        <w:sz w:val="20"/>
      </w:rPr>
      <w:t>27</w:t>
    </w:r>
    <w:r w:rsidR="00727017">
      <w:rPr>
        <w:rFonts w:eastAsia="標楷體"/>
        <w:sz w:val="20"/>
      </w:rPr>
      <w:t>, 202</w:t>
    </w:r>
    <w:r>
      <w:rPr>
        <w:rFonts w:eastAsia="標楷體"/>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6A5"/>
    <w:multiLevelType w:val="hybridMultilevel"/>
    <w:tmpl w:val="8522E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8"/>
    <w:rsid w:val="00007691"/>
    <w:rsid w:val="00027B7A"/>
    <w:rsid w:val="00047CCB"/>
    <w:rsid w:val="00071E3B"/>
    <w:rsid w:val="000B3313"/>
    <w:rsid w:val="00123EC2"/>
    <w:rsid w:val="0012695A"/>
    <w:rsid w:val="00215952"/>
    <w:rsid w:val="002B6CFD"/>
    <w:rsid w:val="002B7688"/>
    <w:rsid w:val="00434E36"/>
    <w:rsid w:val="00457D70"/>
    <w:rsid w:val="004A4DAD"/>
    <w:rsid w:val="004D59EE"/>
    <w:rsid w:val="004E4C49"/>
    <w:rsid w:val="00562DF5"/>
    <w:rsid w:val="00577AAF"/>
    <w:rsid w:val="005E527A"/>
    <w:rsid w:val="00645CD4"/>
    <w:rsid w:val="006B2879"/>
    <w:rsid w:val="007152A4"/>
    <w:rsid w:val="00727017"/>
    <w:rsid w:val="00772D6B"/>
    <w:rsid w:val="00796ED8"/>
    <w:rsid w:val="007C445B"/>
    <w:rsid w:val="007C7626"/>
    <w:rsid w:val="007F2A66"/>
    <w:rsid w:val="007F7E41"/>
    <w:rsid w:val="00876CF8"/>
    <w:rsid w:val="008E10A3"/>
    <w:rsid w:val="00907C6D"/>
    <w:rsid w:val="009141C8"/>
    <w:rsid w:val="009C1FF7"/>
    <w:rsid w:val="009D116B"/>
    <w:rsid w:val="009F0011"/>
    <w:rsid w:val="00A505A8"/>
    <w:rsid w:val="00A81CC3"/>
    <w:rsid w:val="00AD06D5"/>
    <w:rsid w:val="00B63C89"/>
    <w:rsid w:val="00BA4783"/>
    <w:rsid w:val="00BA6C6C"/>
    <w:rsid w:val="00BA7314"/>
    <w:rsid w:val="00BD6BC5"/>
    <w:rsid w:val="00C35E1B"/>
    <w:rsid w:val="00C96FE6"/>
    <w:rsid w:val="00CF5F0A"/>
    <w:rsid w:val="00D029DD"/>
    <w:rsid w:val="00D42971"/>
    <w:rsid w:val="00D8574E"/>
    <w:rsid w:val="00DA21A4"/>
    <w:rsid w:val="00DC15C6"/>
    <w:rsid w:val="00DF04CB"/>
    <w:rsid w:val="00E02438"/>
    <w:rsid w:val="00E30162"/>
    <w:rsid w:val="00E45AEE"/>
    <w:rsid w:val="00E73B53"/>
    <w:rsid w:val="00E9727A"/>
    <w:rsid w:val="00EB1E02"/>
    <w:rsid w:val="00ED37CF"/>
    <w:rsid w:val="00FF4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49C84"/>
  <w15:chartTrackingRefBased/>
  <w15:docId w15:val="{59FCD1C3-1D04-4A49-8206-9DAFADB8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45CD4"/>
    <w:rPr>
      <w:color w:val="0000FF"/>
      <w:u w:val="single"/>
    </w:rPr>
  </w:style>
  <w:style w:type="paragraph" w:styleId="a4">
    <w:name w:val="Balloon Text"/>
    <w:basedOn w:val="a"/>
    <w:semiHidden/>
    <w:rsid w:val="006B2879"/>
    <w:rPr>
      <w:rFonts w:ascii="Arial" w:hAnsi="Arial"/>
      <w:sz w:val="18"/>
      <w:szCs w:val="18"/>
    </w:rPr>
  </w:style>
  <w:style w:type="character" w:styleId="a5">
    <w:name w:val="annotation reference"/>
    <w:semiHidden/>
    <w:rsid w:val="00ED37CF"/>
    <w:rPr>
      <w:sz w:val="18"/>
      <w:szCs w:val="18"/>
    </w:rPr>
  </w:style>
  <w:style w:type="paragraph" w:styleId="a6">
    <w:name w:val="annotation text"/>
    <w:basedOn w:val="a"/>
    <w:semiHidden/>
    <w:rsid w:val="00ED37CF"/>
  </w:style>
  <w:style w:type="paragraph" w:styleId="a7">
    <w:name w:val="annotation subject"/>
    <w:basedOn w:val="a6"/>
    <w:next w:val="a6"/>
    <w:semiHidden/>
    <w:rsid w:val="00ED37CF"/>
    <w:rPr>
      <w:b/>
      <w:bCs/>
    </w:rPr>
  </w:style>
  <w:style w:type="paragraph" w:styleId="a8">
    <w:name w:val="header"/>
    <w:basedOn w:val="a"/>
    <w:link w:val="a9"/>
    <w:rsid w:val="00123EC2"/>
    <w:pPr>
      <w:tabs>
        <w:tab w:val="center" w:pos="4153"/>
        <w:tab w:val="right" w:pos="8306"/>
      </w:tabs>
      <w:snapToGrid w:val="0"/>
    </w:pPr>
    <w:rPr>
      <w:sz w:val="20"/>
      <w:szCs w:val="20"/>
    </w:rPr>
  </w:style>
  <w:style w:type="character" w:customStyle="1" w:styleId="a9">
    <w:name w:val="頁首 字元"/>
    <w:link w:val="a8"/>
    <w:rsid w:val="00123EC2"/>
    <w:rPr>
      <w:kern w:val="2"/>
    </w:rPr>
  </w:style>
  <w:style w:type="paragraph" w:styleId="aa">
    <w:name w:val="footer"/>
    <w:basedOn w:val="a"/>
    <w:link w:val="ab"/>
    <w:rsid w:val="00123EC2"/>
    <w:pPr>
      <w:tabs>
        <w:tab w:val="center" w:pos="4153"/>
        <w:tab w:val="right" w:pos="8306"/>
      </w:tabs>
      <w:snapToGrid w:val="0"/>
    </w:pPr>
    <w:rPr>
      <w:sz w:val="20"/>
      <w:szCs w:val="20"/>
    </w:rPr>
  </w:style>
  <w:style w:type="character" w:customStyle="1" w:styleId="ab">
    <w:name w:val="頁尾 字元"/>
    <w:link w:val="aa"/>
    <w:rsid w:val="00123EC2"/>
    <w:rPr>
      <w:kern w:val="2"/>
    </w:rPr>
  </w:style>
  <w:style w:type="character" w:styleId="ac">
    <w:name w:val="未解析的提及項目"/>
    <w:uiPriority w:val="99"/>
    <w:semiHidden/>
    <w:unhideWhenUsed/>
    <w:rsid w:val="00D42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0813">
      <w:bodyDiv w:val="1"/>
      <w:marLeft w:val="0"/>
      <w:marRight w:val="0"/>
      <w:marTop w:val="0"/>
      <w:marBottom w:val="0"/>
      <w:divBdr>
        <w:top w:val="none" w:sz="0" w:space="0" w:color="auto"/>
        <w:left w:val="none" w:sz="0" w:space="0" w:color="auto"/>
        <w:bottom w:val="none" w:sz="0" w:space="0" w:color="auto"/>
        <w:right w:val="none" w:sz="0" w:space="0" w:color="auto"/>
      </w:divBdr>
    </w:div>
    <w:div w:id="8059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ycsu@ncu.edu.tw" TargetMode="External"/><Relationship Id="rId3" Type="http://schemas.openxmlformats.org/officeDocument/2006/relationships/settings" Target="settings.xml"/><Relationship Id="rId7" Type="http://schemas.openxmlformats.org/officeDocument/2006/relationships/hyperlink" Target="mailto:sam75782008@g.n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"Recent advances in the Quasicontinuum method"</vt:lpstr>
    </vt:vector>
  </TitlesOfParts>
  <Company>NTUCAE</Company>
  <LinksUpToDate>false</LinksUpToDate>
  <CharactersWithSpaces>1742</CharactersWithSpaces>
  <SharedDoc>false</SharedDoc>
  <HLinks>
    <vt:vector size="12" baseType="variant">
      <vt:variant>
        <vt:i4>5767203</vt:i4>
      </vt:variant>
      <vt:variant>
        <vt:i4>3</vt:i4>
      </vt:variant>
      <vt:variant>
        <vt:i4>0</vt:i4>
      </vt:variant>
      <vt:variant>
        <vt:i4>5</vt:i4>
      </vt:variant>
      <vt:variant>
        <vt:lpwstr>mailto:ycsu@ncu.edu.tw</vt:lpwstr>
      </vt:variant>
      <vt:variant>
        <vt:lpwstr/>
      </vt:variant>
      <vt:variant>
        <vt:i4>6357056</vt:i4>
      </vt:variant>
      <vt:variant>
        <vt:i4>0</vt:i4>
      </vt:variant>
      <vt:variant>
        <vt:i4>0</vt:i4>
      </vt:variant>
      <vt:variant>
        <vt:i4>5</vt:i4>
      </vt:variant>
      <vt:variant>
        <vt:lpwstr>mailto:sam75782008@g.ncu.edu.tw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in the Quasicontinuum method"</dc:title>
  <dc:subject/>
  <dc:creator>Chuin-Shan Chen</dc:creator>
  <cp:keywords/>
  <dc:description/>
  <cp:lastModifiedBy>ChiMin Lee</cp:lastModifiedBy>
  <cp:revision>2</cp:revision>
  <dcterms:created xsi:type="dcterms:W3CDTF">2025-08-01T07:36:00Z</dcterms:created>
  <dcterms:modified xsi:type="dcterms:W3CDTF">2025-08-01T07:36:00Z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cffea26e-bf9f-4e08-b2e3-375cfd02ba93</vt:lpwstr>
  </property>
</Properties>
</file>