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29B3" w14:textId="77777777" w:rsidR="00727017" w:rsidRDefault="00727017" w:rsidP="00645CD4">
      <w:pPr>
        <w:snapToGrid w:val="0"/>
        <w:spacing w:line="360" w:lineRule="auto"/>
        <w:rPr>
          <w:b/>
        </w:rPr>
      </w:pPr>
    </w:p>
    <w:p w14:paraId="5201A679" w14:textId="77777777" w:rsidR="00645CD4" w:rsidRPr="00645CD4" w:rsidRDefault="00123EC2" w:rsidP="00645CD4">
      <w:pPr>
        <w:snapToGrid w:val="0"/>
        <w:spacing w:line="360" w:lineRule="auto"/>
        <w:rPr>
          <w:rFonts w:hint="eastAsia"/>
          <w:b/>
        </w:rPr>
      </w:pPr>
      <w:r>
        <w:rPr>
          <w:b/>
        </w:rPr>
        <w:t>Mini</w:t>
      </w:r>
      <w:r w:rsidR="00727017">
        <w:rPr>
          <w:b/>
        </w:rPr>
        <w:t>-</w:t>
      </w:r>
      <w:r>
        <w:rPr>
          <w:b/>
        </w:rPr>
        <w:t xml:space="preserve">symposium </w:t>
      </w:r>
      <w:r w:rsidR="00645CD4" w:rsidRPr="00645CD4">
        <w:rPr>
          <w:rFonts w:hint="eastAsia"/>
          <w:b/>
        </w:rPr>
        <w:t>Title</w:t>
      </w:r>
    </w:p>
    <w:p w14:paraId="245C3FC2" w14:textId="77777777" w:rsidR="007C445B" w:rsidRPr="00876CF8" w:rsidRDefault="00033CFB" w:rsidP="007C445B">
      <w:pPr>
        <w:snapToGrid w:val="0"/>
        <w:spacing w:line="360" w:lineRule="auto"/>
        <w:rPr>
          <w:rFonts w:hint="eastAsia"/>
        </w:rPr>
      </w:pPr>
      <w:r w:rsidRPr="00033CFB">
        <w:rPr>
          <w:kern w:val="0"/>
        </w:rPr>
        <w:t>Advances in Artificial Intelligence-based Approaches for Applications in Civil and Structural Engineering</w:t>
      </w:r>
    </w:p>
    <w:p w14:paraId="0206BA1D" w14:textId="77777777" w:rsidR="007C445B" w:rsidRPr="00645CD4" w:rsidRDefault="007C445B" w:rsidP="007C445B">
      <w:pPr>
        <w:snapToGrid w:val="0"/>
        <w:spacing w:line="360" w:lineRule="auto"/>
      </w:pPr>
    </w:p>
    <w:p w14:paraId="571EACB2" w14:textId="77777777" w:rsidR="007C445B" w:rsidRPr="00645CD4" w:rsidRDefault="007C445B" w:rsidP="007C445B">
      <w:pPr>
        <w:snapToGrid w:val="0"/>
        <w:spacing w:line="360" w:lineRule="auto"/>
        <w:rPr>
          <w:rFonts w:hint="eastAsia"/>
          <w:b/>
        </w:rPr>
      </w:pPr>
      <w:r w:rsidRPr="00645CD4">
        <w:rPr>
          <w:rFonts w:hint="eastAsia"/>
          <w:b/>
        </w:rPr>
        <w:t>Description</w:t>
      </w:r>
    </w:p>
    <w:p w14:paraId="4ED4116A" w14:textId="77777777" w:rsidR="00033CFB" w:rsidRDefault="00033CFB" w:rsidP="00033CFB">
      <w:pPr>
        <w:snapToGrid w:val="0"/>
        <w:spacing w:line="360" w:lineRule="auto"/>
        <w:jc w:val="both"/>
      </w:pPr>
      <w:r>
        <w:t>Artificial intelligence (AI) techniques have made significant advancements in civil and structural engineering, providing innovative solutions to various challenges and enhancing the design, analysis, and monitoring of structures. This progress has led to the rapid emergence of new AI-based approaches in areas such as structural analysis and simulation, generative design, structural health monitoring and maintenance, automated construction, and robotics. Consequently, the industry is transitioning toward more innovative, efficient, and sustainable environments.</w:t>
      </w:r>
    </w:p>
    <w:p w14:paraId="38ACFDCE" w14:textId="77777777" w:rsidR="007C445B" w:rsidRPr="00595EA5" w:rsidRDefault="00033CFB" w:rsidP="00033CFB">
      <w:pPr>
        <w:snapToGrid w:val="0"/>
        <w:spacing w:line="360" w:lineRule="auto"/>
        <w:jc w:val="both"/>
        <w:rPr>
          <w:rFonts w:hint="eastAsia"/>
        </w:rPr>
      </w:pPr>
      <w:r>
        <w:t>As AI technologies continue to evolve and mature, they are anticipated to play an increasingly significant role in shaping the future of civil and structural engineering. To this end, this mini-symposium invites contributions that address challenges across a broad range of relevant topics, including, but not limited to, data-driven methods utilizing AI, digital twins integrated with physics-based methods, physics-informed AI approaches, a</w:t>
      </w:r>
      <w:r w:rsidR="00E63A38">
        <w:t>mong</w:t>
      </w:r>
      <w:r>
        <w:t xml:space="preserve"> </w:t>
      </w:r>
      <w:r w:rsidR="00E63A38">
        <w:t>others</w:t>
      </w:r>
      <w:r>
        <w:t>.</w:t>
      </w:r>
    </w:p>
    <w:p w14:paraId="5F9189B2" w14:textId="77777777" w:rsidR="007C445B" w:rsidRDefault="007C445B" w:rsidP="007C445B">
      <w:pPr>
        <w:snapToGrid w:val="0"/>
        <w:spacing w:line="360" w:lineRule="auto"/>
        <w:rPr>
          <w:rFonts w:hint="eastAsia"/>
        </w:rPr>
      </w:pPr>
    </w:p>
    <w:p w14:paraId="6D5C64E7" w14:textId="77777777" w:rsidR="007C445B" w:rsidRPr="007F2A66" w:rsidRDefault="007C445B" w:rsidP="007C445B">
      <w:pPr>
        <w:snapToGrid w:val="0"/>
        <w:spacing w:line="360" w:lineRule="auto"/>
        <w:ind w:left="283" w:hangingChars="118" w:hanging="283"/>
        <w:rPr>
          <w:b/>
        </w:rPr>
      </w:pPr>
      <w:r w:rsidRPr="007F2A66">
        <w:rPr>
          <w:rFonts w:hint="eastAsia"/>
          <w:b/>
        </w:rPr>
        <w:t xml:space="preserve">Organizer: </w:t>
      </w:r>
    </w:p>
    <w:p w14:paraId="0C97D9B2" w14:textId="77777777" w:rsidR="009A63F8" w:rsidRDefault="009A63F8" w:rsidP="009A63F8">
      <w:pPr>
        <w:snapToGrid w:val="0"/>
        <w:spacing w:line="360" w:lineRule="auto"/>
        <w:ind w:left="283"/>
        <w:jc w:val="both"/>
      </w:pPr>
      <w:r>
        <w:t>Associate Prof. Shieh-Kung Huang, Department of Civil Engineering, National Chung Hsing University, TAIWAN</w:t>
      </w:r>
    </w:p>
    <w:p w14:paraId="38874B2B" w14:textId="77777777" w:rsidR="009A63F8" w:rsidRDefault="009A63F8" w:rsidP="009A63F8">
      <w:pPr>
        <w:snapToGrid w:val="0"/>
        <w:spacing w:line="360" w:lineRule="auto"/>
        <w:ind w:left="283"/>
        <w:jc w:val="both"/>
        <w:rPr>
          <w:rFonts w:hint="eastAsia"/>
        </w:rPr>
      </w:pPr>
      <w:r>
        <w:t xml:space="preserve">Email: </w:t>
      </w:r>
      <w:hyperlink r:id="rId7" w:history="1">
        <w:r w:rsidR="00704AB4" w:rsidRPr="00604CF1">
          <w:rPr>
            <w:rStyle w:val="a3"/>
          </w:rPr>
          <w:t>skhuang@nchu.edu.tw</w:t>
        </w:r>
      </w:hyperlink>
    </w:p>
    <w:p w14:paraId="395B91BB" w14:textId="77777777" w:rsidR="00562DF5" w:rsidRDefault="00562DF5" w:rsidP="00D8574E">
      <w:pPr>
        <w:snapToGrid w:val="0"/>
        <w:spacing w:line="360" w:lineRule="auto"/>
      </w:pPr>
    </w:p>
    <w:p w14:paraId="08F27600" w14:textId="77777777" w:rsidR="00704AB4" w:rsidRDefault="00704AB4" w:rsidP="00704AB4">
      <w:pPr>
        <w:snapToGrid w:val="0"/>
        <w:spacing w:line="360" w:lineRule="auto"/>
        <w:ind w:left="283"/>
        <w:jc w:val="both"/>
      </w:pPr>
      <w:r w:rsidRPr="00704AB4">
        <w:t>Associate Researcher</w:t>
      </w:r>
      <w:r>
        <w:t xml:space="preserve"> Wei-Tze Chang, </w:t>
      </w:r>
      <w:r w:rsidRPr="00704AB4">
        <w:t>National Center for Research on Earthquake Engineering</w:t>
      </w:r>
      <w:r>
        <w:t>, TAIWAN</w:t>
      </w:r>
    </w:p>
    <w:p w14:paraId="58A580EA" w14:textId="77777777" w:rsidR="00704AB4" w:rsidRDefault="00704AB4" w:rsidP="00704AB4">
      <w:pPr>
        <w:snapToGrid w:val="0"/>
        <w:spacing w:line="360" w:lineRule="auto"/>
        <w:ind w:left="283"/>
        <w:jc w:val="both"/>
        <w:rPr>
          <w:rFonts w:hint="eastAsia"/>
        </w:rPr>
      </w:pPr>
      <w:r>
        <w:t xml:space="preserve">Email: </w:t>
      </w:r>
      <w:hyperlink r:id="rId8" w:history="1">
        <w:r w:rsidRPr="00604CF1">
          <w:rPr>
            <w:rStyle w:val="a3"/>
          </w:rPr>
          <w:t>wtchang@niar.org.tw</w:t>
        </w:r>
      </w:hyperlink>
    </w:p>
    <w:p w14:paraId="604F8392" w14:textId="77777777" w:rsidR="00704AB4" w:rsidRPr="00876CF8" w:rsidRDefault="00704AB4" w:rsidP="00D8574E">
      <w:pPr>
        <w:snapToGrid w:val="0"/>
        <w:spacing w:line="360" w:lineRule="auto"/>
      </w:pPr>
    </w:p>
    <w:sectPr w:rsidR="00704AB4" w:rsidRPr="00876CF8" w:rsidSect="00E9727A">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62DD" w14:textId="77777777" w:rsidR="002E3F13" w:rsidRDefault="002E3F13" w:rsidP="00123EC2">
      <w:r>
        <w:separator/>
      </w:r>
    </w:p>
  </w:endnote>
  <w:endnote w:type="continuationSeparator" w:id="0">
    <w:p w14:paraId="2BEBB9FA" w14:textId="77777777" w:rsidR="002E3F13" w:rsidRDefault="002E3F13"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80C" w14:textId="77777777" w:rsidR="002E3F13" w:rsidRDefault="002E3F13" w:rsidP="00123EC2">
      <w:r>
        <w:separator/>
      </w:r>
    </w:p>
  </w:footnote>
  <w:footnote w:type="continuationSeparator" w:id="0">
    <w:p w14:paraId="0B0BF1BF" w14:textId="77777777" w:rsidR="002E3F13" w:rsidRDefault="002E3F13"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D85"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57AAD4DE"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4FB52269" w14:textId="77777777" w:rsidR="00123EC2" w:rsidRPr="00727017" w:rsidRDefault="004E4C49" w:rsidP="007C445B">
    <w:pPr>
      <w:tabs>
        <w:tab w:val="center" w:pos="4153"/>
        <w:tab w:val="right" w:pos="8306"/>
      </w:tabs>
      <w:jc w:val="right"/>
      <w:rPr>
        <w:rFonts w:eastAsia="標楷體" w:hint="eastAsia"/>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33CFB"/>
    <w:rsid w:val="00071E3B"/>
    <w:rsid w:val="000B3313"/>
    <w:rsid w:val="000D315D"/>
    <w:rsid w:val="00123EC2"/>
    <w:rsid w:val="0012695A"/>
    <w:rsid w:val="00215952"/>
    <w:rsid w:val="0023790E"/>
    <w:rsid w:val="002B7688"/>
    <w:rsid w:val="002E3F13"/>
    <w:rsid w:val="00434E36"/>
    <w:rsid w:val="00457D70"/>
    <w:rsid w:val="004A4DAD"/>
    <w:rsid w:val="004B4868"/>
    <w:rsid w:val="004C06F1"/>
    <w:rsid w:val="004E4C49"/>
    <w:rsid w:val="00551B88"/>
    <w:rsid w:val="00562DF5"/>
    <w:rsid w:val="00577AAF"/>
    <w:rsid w:val="005A1C2C"/>
    <w:rsid w:val="005E527A"/>
    <w:rsid w:val="00645CD4"/>
    <w:rsid w:val="006B2879"/>
    <w:rsid w:val="00704AB4"/>
    <w:rsid w:val="007152A4"/>
    <w:rsid w:val="00727017"/>
    <w:rsid w:val="00772D6B"/>
    <w:rsid w:val="007C445B"/>
    <w:rsid w:val="007F2A66"/>
    <w:rsid w:val="007F7E41"/>
    <w:rsid w:val="00876CF8"/>
    <w:rsid w:val="008E10A3"/>
    <w:rsid w:val="00907C6D"/>
    <w:rsid w:val="009A63F8"/>
    <w:rsid w:val="009C1FF7"/>
    <w:rsid w:val="009D116B"/>
    <w:rsid w:val="009F0011"/>
    <w:rsid w:val="00A505A8"/>
    <w:rsid w:val="00AD06D5"/>
    <w:rsid w:val="00B15823"/>
    <w:rsid w:val="00B63C89"/>
    <w:rsid w:val="00BA6C6C"/>
    <w:rsid w:val="00BA7314"/>
    <w:rsid w:val="00BD6BC5"/>
    <w:rsid w:val="00C35E1B"/>
    <w:rsid w:val="00C921D1"/>
    <w:rsid w:val="00C96FE6"/>
    <w:rsid w:val="00CF5F0A"/>
    <w:rsid w:val="00D029DD"/>
    <w:rsid w:val="00D71DD7"/>
    <w:rsid w:val="00D8574E"/>
    <w:rsid w:val="00DA21A4"/>
    <w:rsid w:val="00DC15C6"/>
    <w:rsid w:val="00DF45EF"/>
    <w:rsid w:val="00E02438"/>
    <w:rsid w:val="00E30162"/>
    <w:rsid w:val="00E45AEE"/>
    <w:rsid w:val="00E63A38"/>
    <w:rsid w:val="00E73B53"/>
    <w:rsid w:val="00E9727A"/>
    <w:rsid w:val="00EB1E02"/>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EA61"/>
  <w15:chartTrackingRefBased/>
  <w15:docId w15:val="{56713499-F2FA-4E5C-881E-AE2A807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 w:type="character" w:styleId="ac">
    <w:name w:val="Unresolved Mention"/>
    <w:uiPriority w:val="99"/>
    <w:semiHidden/>
    <w:unhideWhenUsed/>
    <w:rsid w:val="005A1C2C"/>
    <w:rPr>
      <w:color w:val="605E5C"/>
      <w:shd w:val="clear" w:color="auto" w:fill="E1DFDD"/>
    </w:rPr>
  </w:style>
  <w:style w:type="paragraph" w:styleId="ad">
    <w:name w:val="Revision"/>
    <w:hidden/>
    <w:uiPriority w:val="99"/>
    <w:semiHidden/>
    <w:rsid w:val="00E63A3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tchang@niar.org.tw" TargetMode="External"/><Relationship Id="rId3" Type="http://schemas.openxmlformats.org/officeDocument/2006/relationships/settings" Target="settings.xml"/><Relationship Id="rId7" Type="http://schemas.openxmlformats.org/officeDocument/2006/relationships/hyperlink" Target="mailto:skhuang@nchu.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419D-DE3B-4A1F-9B34-109DB3DA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NTUCAE</Company>
  <LinksUpToDate>false</LinksUpToDate>
  <CharactersWithSpaces>1518</CharactersWithSpaces>
  <SharedDoc>false</SharedDoc>
  <HLinks>
    <vt:vector size="12" baseType="variant">
      <vt:variant>
        <vt:i4>7995423</vt:i4>
      </vt:variant>
      <vt:variant>
        <vt:i4>3</vt:i4>
      </vt:variant>
      <vt:variant>
        <vt:i4>0</vt:i4>
      </vt:variant>
      <vt:variant>
        <vt:i4>5</vt:i4>
      </vt:variant>
      <vt:variant>
        <vt:lpwstr>mailto:wtchang@niar.org.tw</vt:lpwstr>
      </vt:variant>
      <vt:variant>
        <vt:lpwstr/>
      </vt:variant>
      <vt:variant>
        <vt:i4>6946824</vt:i4>
      </vt:variant>
      <vt:variant>
        <vt:i4>0</vt:i4>
      </vt:variant>
      <vt:variant>
        <vt:i4>0</vt:i4>
      </vt:variant>
      <vt:variant>
        <vt:i4>5</vt:i4>
      </vt:variant>
      <vt:variant>
        <vt:lpwstr>mailto:skhuang@nchu.edu.tw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2025-08-01T07:28:00Z</dcterms:created>
  <dcterms:modified xsi:type="dcterms:W3CDTF">2025-08-01T07:28:00Z</dcterms:modified>
</cp:coreProperties>
</file>